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9A" w:rsidRPr="002C7633" w:rsidRDefault="00CD499A" w:rsidP="00CD499A">
      <w:pPr>
        <w:pStyle w:val="Podtytu"/>
        <w:numPr>
          <w:ilvl w:val="0"/>
          <w:numId w:val="1"/>
        </w:numPr>
        <w:ind w:left="284" w:hanging="426"/>
        <w:rPr>
          <w:rFonts w:asciiTheme="minorHAnsi" w:hAnsiTheme="minorHAnsi"/>
          <w:strike/>
          <w:sz w:val="24"/>
          <w:szCs w:val="24"/>
        </w:rPr>
      </w:pPr>
      <w:r w:rsidRPr="002C7633">
        <w:rPr>
          <w:rFonts w:asciiTheme="minorHAnsi" w:hAnsiTheme="minorHAnsi"/>
          <w:sz w:val="24"/>
          <w:szCs w:val="24"/>
        </w:rPr>
        <w:t>Efekty uczenia się:</w:t>
      </w:r>
    </w:p>
    <w:p w:rsidR="00CD499A" w:rsidRPr="002C7633" w:rsidRDefault="00CD499A" w:rsidP="00F278AD">
      <w:pPr>
        <w:pStyle w:val="Podtytu"/>
        <w:spacing w:before="240" w:after="240"/>
        <w:rPr>
          <w:rFonts w:asciiTheme="minorHAnsi" w:hAnsiTheme="minorHAnsi"/>
          <w:sz w:val="24"/>
          <w:szCs w:val="24"/>
        </w:rPr>
      </w:pPr>
      <w:r w:rsidRPr="002C7633">
        <w:rPr>
          <w:rFonts w:asciiTheme="minorHAnsi" w:hAnsiTheme="minorHAnsi"/>
          <w:sz w:val="24"/>
          <w:szCs w:val="24"/>
        </w:rPr>
        <w:t>Zał. 1. Tabela odniesień kierunkowych efektów uczenia się do charakterystyk Polskiej Ramy Kwalifikacji</w:t>
      </w:r>
    </w:p>
    <w:tbl>
      <w:tblPr>
        <w:tblW w:w="9778" w:type="dxa"/>
        <w:jc w:val="center"/>
        <w:tblInd w:w="-284" w:type="dxa"/>
        <w:tblCellMar>
          <w:left w:w="70" w:type="dxa"/>
          <w:right w:w="70" w:type="dxa"/>
        </w:tblCellMar>
        <w:tblLook w:val="0000"/>
      </w:tblPr>
      <w:tblGrid>
        <w:gridCol w:w="1628"/>
        <w:gridCol w:w="6575"/>
        <w:gridCol w:w="1575"/>
      </w:tblGrid>
      <w:tr w:rsidR="00042FB2" w:rsidRPr="002C7633" w:rsidTr="005D39CE">
        <w:trPr>
          <w:trHeight w:val="1300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Opis kierunkowego efektu uczenia się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Kod charakterystyk PRK</w:t>
            </w:r>
          </w:p>
        </w:tc>
      </w:tr>
      <w:tr w:rsidR="00AB43A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A9" w:rsidRPr="002C7633" w:rsidRDefault="00AB43A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WIEDZA 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A9" w:rsidRPr="002C7633" w:rsidRDefault="00AB43A9" w:rsidP="00AB43A9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B43A9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Zna i rozumie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…</w:t>
            </w:r>
          </w:p>
        </w:tc>
      </w:tr>
      <w:tr w:rsidR="00042FB2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9A1B49" w:rsidP="002C6D00">
            <w:pPr>
              <w:spacing w:before="120" w:after="120"/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zagadnienia z matematyki, obejmujące analizę matematyczną, algebrę, matematykę dyskretną, logikę i teorię mnogości, metody probabilistyczne, statystykę i metody numeryczne - przydatne do formułowania i rozwiązywania zadań związanych z informatyką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042FB2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K_W02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9A1B49" w:rsidP="002C6D00">
            <w:pPr>
              <w:spacing w:before="120" w:after="120"/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problemy fizyki, obejmujące  mechanikę, termodynamikę, optykę i akustykę, elektryczność i magnetyzm, fizykę kwantową, w tym zna i rozumie  podstawowe zjawiska fizyczne w układach elektronicznych i optoelektronicznych oraz w ich otoczeniu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042FB2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9A1B49" w:rsidP="002C6D00">
            <w:pPr>
              <w:spacing w:before="120" w:after="120"/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zagadnienia elektroniki i automatyki, niezbędne do zrozumienia techniki cyfrowej i zasad funkcjonowania układów automatyki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dziedzinę telekomunikacji, w zakresie potrzebnym do zrozumienia zasad działania sieci teleinformatycznych, w tym sieci bezprzewodowych oraz układów zdalnego sterowania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ogólne zagadnienia informatyki oraz budowę  i funkcjonowanie systemów informatycznych,  zasady budowy współczesnych komputerów i urządzeń z nimi współpracujących, systemów operacyjnych, sieci komputerowych i baz danych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tematykę  komunikacji człowiek – komputer i człowiek - robot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5D39C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metody projektowania, analizowania i wytwarzania programowania, w tym implementacji algorytmów oraz zna  konstrukcje programistyczne i struktury danych, a także zasady inżynierii oprogramowania w stopniu umożliwiającym efektywną pracę w zespołach programistycznych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K_W08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technologie sieci teleinformatycznych , w tym podstawy funkcjonowania systemów teleinformatycznych, ich organizację oraz mechanizmy zarządzania przepływami informacji z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uwzględnieniem bezpieczeństwa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K_W09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architekturę i organizację komputera, w tym systemy wieloprocesorowe, systemy przemysłowe oraz do przetwarzania równoległego informacji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K_W10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zasady działania mikroprocesorów w systemach wbudowanych oraz zastosowania systemów wbudowanych, w tym w robotyce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zasady projektowania i programowania strukturalnego oraz obiektowego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lastRenderedPageBreak/>
              <w:t>K_W12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zasady działania systemów operacyjnych ze szczególnym uwzględnieniem procesów, zarządzania pamięcią, organizacji systemów plików i praw dostępu do plików oraz zarządzania bezpieczeństwem, w tym rozwiązywania problemów związanych z uwierzytelnianiem, poufnością i integralnością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zagadnienia inżynierii oprogramowania: cyklu życia projektu informatycznego, metodyki projektowania systemów informatycznych, wzorców architektonicznych, narzędzi i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środowisk wytwarzania oprogramowania, walidacji i weryfikacji oraz zarządzania projektem informatycznym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tematykę przetwarzania da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nych oraz repozytoriów danych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relacyjnych baz danych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metody, techniki, narzędzia programowe oraz aparaturę i sprzęt stosowane przy rozwiązywaniu zadań inżynierskich z zakresu systemów informatycznych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ogólne standardy i no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rmy techniczne w informatyce, w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szczególności obejmujące standardy bezpieczeństwa teleinformatycznego, standardy internetowe, standardy protokołów sieciowych i standardy programistyczne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aspekty prawne i społeczne informatyki, w tym odpowiedzialności zawodowej i etycznej, prywatności, ryzyka i odpowiedzialności związanej z systemami informatycznymi oraz szczegółowe zasady bezpieczeństwa pracy i ergonomii w zawodzie informatyka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5D39C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zagadnienia ochrony własności intelektualnej, prawa autorskiego, prawa patentowego oraz ochrony danych osobowych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5D39C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problemy w zakresie zarządzania małym przedsiębiorstwem branży IT, w tym zarządzania jakością i zakładania oraz prowadzenia działalności gospodarczej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wykorzystującej transfer technologii informatycznych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F278AD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K_W20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zasady i narzędzi do t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worzenia grafiki komputerowej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multimediów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F278AD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K_W21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metody sztucznej inteligencji i ich wybrane zastosowania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AB43A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A9" w:rsidRPr="002C7633" w:rsidRDefault="00AB43A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UMIEJĘTNOŚCI</w:t>
            </w:r>
          </w:p>
        </w:tc>
        <w:tc>
          <w:tcPr>
            <w:tcW w:w="8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A9" w:rsidRPr="002C7633" w:rsidRDefault="00AB43A9" w:rsidP="00AB43A9">
            <w:pPr>
              <w:rPr>
                <w:rFonts w:asciiTheme="minorHAnsi" w:hAnsiTheme="minorHAnsi" w:cs="TimesNewRoman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</w:t>
            </w: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otrafi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…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pozyskiwać informacje z literatury, baz wiedzy, Internetu oraz innych źródeł, także w języku angielskim, integrować je, dokonywać ich interpretacji, wy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ciągać wnioski oraz formułować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uzasadniać opinie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90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zaplanować , zrealizować informatyczne przedsięwzięcia projektowe, zgodnie z opracowanym harmonogramem, siatką zadań, pełniąc w zespole różne role oraz używając notacje zrozumiałe dla wszystkich partycypujących w przedsięwzięciu, także dla osób spoza branży IT; potrafi oszacować i kontrolować koszty przedsięwzięcia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P6S_UO</w:t>
            </w:r>
          </w:p>
          <w:p w:rsidR="009A1B49" w:rsidRPr="002C7633" w:rsidRDefault="009A1B49" w:rsidP="0044248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opracować dokumentację tech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niczną zadania inżynierskiego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przygotować tekst zawierający omówienie wyników realizacji tego zadania, także w języku angielskim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przygotować i przedstawić prezentację poświęconą wynikom realizacji zadania inżynierskiego, także w języku angielskim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lastRenderedPageBreak/>
              <w:t>K_U05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porozumiewać się w języku angielskim, w tym czytać ze zrozumieniem dokumentację techniczną, noty aplikacyjne, instrukcje obsługi urządzeń komputerowych i narzędzi informatycznych oraz podobne dokumenty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śledzić zmiany zachodzące w informatyce, analizować nowe technologie; samodzielnie studiować  nowe narzędzia programowe i sprzętowe,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 xml:space="preserve"> uczyć się nowych idei, metod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sposobów wprowadzanych w branży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2A7" w:rsidRPr="002C7633" w:rsidRDefault="00B462A7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P6S_UU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wykorzystać poznane metody i modele matematyczne, a także symulacje komputerowe do formułowania, rozwiązywania oraz oceny zadań związanych z informatyką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planować i przeprowadzać eksperymenty, interpretować uzyskane wyniki i wyciągać wnioski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formułować i rozwiązywać zadania, obejmujące projektowanie systemów informatycznych, dostrzegać ich aspekty pozatechniczne, w tym środowiskowe, ekonomiczne</w:t>
            </w:r>
            <w:r w:rsidR="000E72B7">
              <w:rPr>
                <w:rFonts w:asciiTheme="minorHAnsi" w:hAnsiTheme="minorHAnsi" w:cs="Arial"/>
                <w:color w:val="000000"/>
                <w:sz w:val="24"/>
                <w:szCs w:val="24"/>
              </w:rPr>
              <w:t>, etyczne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prawne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stosować zasady i procedury bezpieczeństwa informacji, w tym bezpieczeństwa systemów komputerowych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stosować zasady ergonomii, bezp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ieczeństwa i higieny związane z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pracą w branży IT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P6S_UO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analizować i dekomponować problemy z dziedziny informatyki, specyfikować i modelować rozwiązania systemowe stosując standardowe metody, dobierać adekwatną technologię oraz konfigurować środowisko produkcyjne i docelowe, a także implementować rozwiązanie w przygotowanym środowisku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zainstalować, skonfigurować wybrany system operacyjny i nim administrować, a także zainstalować każde oprogramowanie narzędziowe i użytkowe będące w powszechnym użyciu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zaprojektować, skonfigurować sieć i nią administrować,  konfigurować, zabezpieczać i udostępniać podstawowe usługi sieciowe, wykrywać i diagnozować problemy pojawiające się w sieci komputerowej oraz je rozwiązywać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K_U15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programować  i 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uruchamiać systemy wbudowane  z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wykorzystaniem niezbędnej dokumentacji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pisać, uruchamiać, śledzić i testować programy w wybranym środowisku programistycznym wykorzystując znajomość paradygmatów programowania oraz tworzyć dokumentację oprogramowania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Projektować i analizować algorytmy pod kątem poprawności 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złożoności obliczeniowej oraz je programować wykorzystując techniki algorytmiczne i struktury danych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90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zaprojektować, zaimplementować i utrzymywać różne repozytoria danych,  w szczególności relacyjne bazy danych wybranych dostawców, zarządzać dostępem do danych,</w:t>
            </w:r>
            <w:r w:rsidR="004D73B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manipulować danymi i ich strukturami za pomocą języka zapytań w trybie interakcyjnym poprzez systemy zarządzania bazami danych oraz w trybie osadzonym w tworzonych aplikacjach użytkowych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lastRenderedPageBreak/>
              <w:t>K_U19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tworzyć desktopowe i internetowe komponenty programowe, także multimedialne oraz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 xml:space="preserve"> kompletne aplikacje użytkowe w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wybranym śr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odowisku programowania, także z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wykorzystaniem gotowych komponentów i szablonów programowych zgodnie ze wzorcem architektonicznym oprogramowania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posługiwać się sprzętem audio-wizualnym, a także narzędziami programowymi do tworzenia, obróbki i montażu projektów graficznych oraz multimedialnych, wykonać zadanie inżynierskie według zadanej 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br w:type="page"/>
              <w:t>specyfikacji, osiągając zamierzone efekty wizualne i dźwiękowe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zaprojektować, zrealizować, uruchomić i przetestować typowy system komputerowy zgodnie z zadaną specyfikacją  oraz wstępnie oszacować jego koszty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utrzymywać w ruchu urządzenia, obiekty i systemy teleinformatyczne.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rozwiązywać zadania branży IT w oparciu o poznane przykłady praktycznego  zastosowania wiedzy inżynierskiej w firmach</w:t>
            </w:r>
            <w:r w:rsidR="00E27DE3"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 przedsiębiorstwach i instytucjach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K_U24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rozwiązywać zadania inżynierskie wymagające 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korzystania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doświadczenia w korzystaniu z norm i standardów stosowanych w informatyce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K_U25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komunikować się w skuteczny sposób z inwestorami rekrutującymi się z różnych środowisk, pozyskując od nich wiedzę tworzącą wartość dodaną przedsięwzięć informatycznych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2A7" w:rsidRPr="002C7633" w:rsidRDefault="00B462A7" w:rsidP="004F52A6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K_U26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wykorzystywać algorytmy sztucznej inteligencji do rozwiązywania rzeczywistych problemów inżynierskich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AB43A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A9" w:rsidRPr="002C7633" w:rsidRDefault="00AB43A9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8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A9" w:rsidRPr="002C7633" w:rsidRDefault="00AB43A9" w:rsidP="00AB43A9">
            <w:pPr>
              <w:rPr>
                <w:rFonts w:asciiTheme="minorHAnsi" w:hAnsiTheme="minorHAnsi" w:cs="TimesNewRoman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J</w:t>
            </w: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est gotów do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…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oceny dynamiki zmian i aktualności technologii branży IT i ich znaczenia przy planowaniu i realizacji projektów informatycznych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P6S_KK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dostrzegania pozatechnicznych aspektów działalności inżyniera informatyka, w tym jej wpływu 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na społeczeństwo i środowisko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dostrzegania skutków prawnych, ekonomicznych i społecznych oraz odpowiedzialności za podejmowane decyzje.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P6S_KO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profesjonalnego działania i przestrzegania zasad etyki zawodowej, w szczególności uczciwości, poszanowania praw autorskich i  różnorodności poglądów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P6S_KR</w:t>
            </w:r>
          </w:p>
        </w:tc>
      </w:tr>
      <w:tr w:rsidR="00F278AD" w:rsidRPr="002C7633" w:rsidTr="005D39CE">
        <w:trPr>
          <w:trHeight w:val="667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rozwiązywania problemów i uznawania potrzeby zasięgania pomocy doświadczonych programistów , administratorów sieci lub systemów czy też specjalistów z zakresu grafiki i multimediów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P6S_KK</w:t>
            </w:r>
          </w:p>
        </w:tc>
      </w:tr>
      <w:tr w:rsidR="00F278AD" w:rsidRPr="002C7633" w:rsidTr="005D39CE">
        <w:trPr>
          <w:trHeight w:val="288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analizowania i wyciągania wniosków dotyczących rynku 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pracy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działalności innowacyjnej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P6S_KO</w:t>
            </w:r>
          </w:p>
        </w:tc>
      </w:tr>
      <w:tr w:rsidR="00F278AD" w:rsidRPr="002C7633" w:rsidTr="005D39CE">
        <w:trPr>
          <w:trHeight w:val="621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jc w:val="both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publicznego i rzetelnego</w:t>
            </w:r>
            <w:bookmarkStart w:id="0" w:name="_GoBack"/>
            <w:bookmarkEnd w:id="0"/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 przedstaw</w:t>
            </w:r>
            <w:r w:rsidR="009579CD">
              <w:rPr>
                <w:rFonts w:asciiTheme="minorHAnsi" w:hAnsiTheme="minorHAnsi" w:cs="Arial"/>
                <w:sz w:val="24"/>
                <w:szCs w:val="24"/>
              </w:rPr>
              <w:t>iania stanu i zadań dotyczących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 informatyzacji 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społeczeństwa z jego zaletami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zagrożeniami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P6S_KO</w:t>
            </w:r>
          </w:p>
        </w:tc>
      </w:tr>
    </w:tbl>
    <w:p w:rsidR="00042FB2" w:rsidRPr="002C7633" w:rsidRDefault="00042FB2" w:rsidP="00CD499A">
      <w:pPr>
        <w:rPr>
          <w:rFonts w:asciiTheme="minorHAnsi" w:hAnsiTheme="minorHAnsi"/>
          <w:sz w:val="24"/>
          <w:szCs w:val="24"/>
        </w:rPr>
      </w:pPr>
    </w:p>
    <w:p w:rsidR="005D39CE" w:rsidRDefault="00CD499A" w:rsidP="009B4977">
      <w:pPr>
        <w:jc w:val="both"/>
        <w:rPr>
          <w:rFonts w:asciiTheme="minorHAnsi" w:hAnsiTheme="minorHAnsi"/>
          <w:b/>
          <w:sz w:val="24"/>
          <w:szCs w:val="24"/>
        </w:rPr>
      </w:pPr>
      <w:r w:rsidRPr="002C7633">
        <w:rPr>
          <w:rFonts w:asciiTheme="minorHAnsi" w:hAnsiTheme="minorHAnsi"/>
          <w:sz w:val="24"/>
          <w:szCs w:val="24"/>
        </w:rPr>
        <w:t xml:space="preserve">Uwzględniamy charakterystyki I stopnia PRK (uniwersalne) oraz charakterystyki II stopnia dot. szkolnictwa wyższego i zawodowego. </w:t>
      </w:r>
      <w:r w:rsidR="005D39CE">
        <w:rPr>
          <w:rFonts w:asciiTheme="minorHAnsi" w:hAnsiTheme="minorHAnsi"/>
          <w:b/>
          <w:sz w:val="24"/>
          <w:szCs w:val="24"/>
        </w:rPr>
        <w:br w:type="page"/>
      </w:r>
    </w:p>
    <w:p w:rsidR="00CD499A" w:rsidRPr="002C7633" w:rsidRDefault="00CD499A" w:rsidP="00CD499A">
      <w:pPr>
        <w:rPr>
          <w:rFonts w:asciiTheme="minorHAnsi" w:hAnsiTheme="minorHAnsi"/>
          <w:b/>
          <w:sz w:val="24"/>
          <w:szCs w:val="24"/>
        </w:rPr>
      </w:pPr>
      <w:r w:rsidRPr="002C7633">
        <w:rPr>
          <w:rFonts w:asciiTheme="minorHAnsi" w:hAnsiTheme="minorHAnsi"/>
          <w:b/>
          <w:sz w:val="24"/>
          <w:szCs w:val="24"/>
        </w:rPr>
        <w:lastRenderedPageBreak/>
        <w:t>Zał. 2. Tabela pokrycia kompetencji inżyniera/nauczyciela przez kierunkowe efekty uczenia się</w:t>
      </w:r>
    </w:p>
    <w:p w:rsidR="00CD499A" w:rsidRPr="002C7633" w:rsidRDefault="00CD499A" w:rsidP="00CD49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42"/>
        <w:gridCol w:w="5387"/>
        <w:gridCol w:w="1910"/>
      </w:tblGrid>
      <w:tr w:rsidR="00CD499A" w:rsidRPr="002C7633" w:rsidTr="00217603">
        <w:tc>
          <w:tcPr>
            <w:tcW w:w="1913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Kod składnika opisu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Charakterystyka II stopnia PRK dla kwalifikacji obejmujących kompetencje inżynierskie/nauczycielskie</w:t>
            </w:r>
          </w:p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(profil praktyczny)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Odniesienie do kierunkowego efektu uczenia się</w:t>
            </w:r>
          </w:p>
        </w:tc>
      </w:tr>
      <w:tr w:rsidR="00CD499A" w:rsidRPr="002C7633" w:rsidTr="00217603">
        <w:trPr>
          <w:cantSplit/>
        </w:trPr>
        <w:tc>
          <w:tcPr>
            <w:tcW w:w="9210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pct10" w:color="auto" w:fill="FFFFFF"/>
          </w:tcPr>
          <w:p w:rsidR="00CD499A" w:rsidRPr="002C7633" w:rsidRDefault="00CD499A" w:rsidP="00217603">
            <w:pPr>
              <w:pStyle w:val="Nagwek1"/>
              <w:rPr>
                <w:rFonts w:asciiTheme="minorHAnsi" w:hAnsiTheme="minorHAnsi"/>
                <w:szCs w:val="24"/>
              </w:rPr>
            </w:pPr>
            <w:r w:rsidRPr="002C7633">
              <w:rPr>
                <w:rFonts w:asciiTheme="minorHAnsi" w:hAnsiTheme="minorHAnsi"/>
                <w:szCs w:val="24"/>
              </w:rPr>
              <w:t>Wiedza</w:t>
            </w:r>
            <w:r w:rsidR="00682737">
              <w:rPr>
                <w:rFonts w:asciiTheme="minorHAnsi" w:hAnsiTheme="minorHAnsi"/>
                <w:szCs w:val="24"/>
              </w:rPr>
              <w:t xml:space="preserve"> </w:t>
            </w:r>
            <w:r w:rsidR="00682737" w:rsidRPr="00682737">
              <w:rPr>
                <w:rFonts w:asciiTheme="minorHAnsi" w:hAnsiTheme="minorHAnsi"/>
                <w:b w:val="0"/>
                <w:i/>
                <w:szCs w:val="24"/>
              </w:rPr>
              <w:t>zna i rozumie</w:t>
            </w:r>
            <w:r w:rsidR="00682737">
              <w:rPr>
                <w:rFonts w:asciiTheme="minorHAnsi" w:hAnsiTheme="minorHAnsi"/>
                <w:b w:val="0"/>
                <w:i/>
                <w:szCs w:val="24"/>
              </w:rPr>
              <w:t>…</w:t>
            </w:r>
          </w:p>
        </w:tc>
      </w:tr>
      <w:tr w:rsidR="004F110C" w:rsidRPr="002C7633" w:rsidTr="00C65CDE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C65C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P6S_WG 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podstawowe procesy zachodzące w cyklu życia urządzeń, obiektów i systemów technicznych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110C" w:rsidRPr="002C7633" w:rsidRDefault="004F110C" w:rsidP="00C65C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K_W07, K_W08, K_W12, K_W13</w:t>
            </w:r>
          </w:p>
        </w:tc>
      </w:tr>
      <w:tr w:rsidR="004F110C" w:rsidRPr="002C7633" w:rsidTr="00C65CDE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ogólne zasady tworzenia i rozwoju form indywidualnej przedsiębiorczości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4F110C" w:rsidP="00C65C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K_W13, K_W17, K_W19</w:t>
            </w:r>
          </w:p>
        </w:tc>
      </w:tr>
      <w:tr w:rsidR="00CD499A" w:rsidRPr="002C7633" w:rsidTr="00217603">
        <w:trPr>
          <w:cantSplit/>
        </w:trPr>
        <w:tc>
          <w:tcPr>
            <w:tcW w:w="9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CD499A" w:rsidRPr="002C7633" w:rsidRDefault="00CD499A" w:rsidP="00217603">
            <w:pPr>
              <w:pStyle w:val="Nagwek1"/>
              <w:rPr>
                <w:rFonts w:asciiTheme="minorHAnsi" w:hAnsiTheme="minorHAnsi"/>
                <w:szCs w:val="24"/>
              </w:rPr>
            </w:pPr>
            <w:r w:rsidRPr="002C7633">
              <w:rPr>
                <w:rFonts w:asciiTheme="minorHAnsi" w:hAnsiTheme="minorHAnsi"/>
                <w:szCs w:val="24"/>
              </w:rPr>
              <w:t>Umiejętności</w:t>
            </w:r>
            <w:r w:rsidR="00682737">
              <w:rPr>
                <w:rFonts w:asciiTheme="minorHAnsi" w:hAnsiTheme="minorHAnsi"/>
                <w:szCs w:val="24"/>
              </w:rPr>
              <w:t xml:space="preserve"> </w:t>
            </w:r>
            <w:r w:rsidR="00682737" w:rsidRPr="00682737">
              <w:rPr>
                <w:rFonts w:asciiTheme="minorHAnsi" w:hAnsiTheme="minorHAnsi"/>
                <w:b w:val="0"/>
                <w:i/>
                <w:szCs w:val="24"/>
              </w:rPr>
              <w:t>potrafi</w:t>
            </w:r>
            <w:r w:rsidR="00682737">
              <w:rPr>
                <w:rFonts w:asciiTheme="minorHAnsi" w:hAnsiTheme="minorHAnsi"/>
                <w:b w:val="0"/>
                <w:i/>
                <w:szCs w:val="24"/>
              </w:rPr>
              <w:t>…</w:t>
            </w:r>
          </w:p>
        </w:tc>
      </w:tr>
      <w:tr w:rsidR="004F110C" w:rsidRPr="002C7633" w:rsidTr="002C7633">
        <w:tc>
          <w:tcPr>
            <w:tcW w:w="17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4F110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P6S_UW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planować i przeprowadzać eksperymenty, w tym pomiary i symulacje komputerowe, interpretować uzyskane wyniki i wyciągać wnioski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4F110C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K_U07, K_U08, </w:t>
            </w:r>
            <w:r w:rsidR="002C7633"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K_U15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przy identyfikacji i formułowaniu specyfikacji zadań inżynierskich oraz ich rozwiązywaniu:</w:t>
            </w:r>
          </w:p>
          <w:p w:rsidR="004F110C" w:rsidRPr="002C7633" w:rsidRDefault="004F110C" w:rsidP="002C763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59"/>
              <w:rPr>
                <w:rFonts w:cs="TimesNewRoman"/>
                <w:sz w:val="24"/>
                <w:szCs w:val="24"/>
              </w:rPr>
            </w:pPr>
            <w:r w:rsidRPr="002C7633">
              <w:rPr>
                <w:rFonts w:cs="TimesNewRoman"/>
                <w:sz w:val="24"/>
                <w:szCs w:val="24"/>
              </w:rPr>
              <w:t>wykorzystać metody analityczne, symulacyjne i</w:t>
            </w:r>
            <w:r w:rsidR="002C7633">
              <w:rPr>
                <w:rFonts w:cs="TimesNewRoman"/>
                <w:sz w:val="24"/>
                <w:szCs w:val="24"/>
              </w:rPr>
              <w:t> </w:t>
            </w:r>
            <w:r w:rsidRPr="002C7633">
              <w:rPr>
                <w:rFonts w:cs="TimesNewRoman"/>
                <w:sz w:val="24"/>
                <w:szCs w:val="24"/>
              </w:rPr>
              <w:t>eksperymentalne,</w:t>
            </w:r>
          </w:p>
          <w:p w:rsidR="004F110C" w:rsidRPr="002C7633" w:rsidRDefault="004F110C" w:rsidP="002C763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59"/>
              <w:rPr>
                <w:rFonts w:cs="TimesNewRoman"/>
                <w:sz w:val="24"/>
                <w:szCs w:val="24"/>
              </w:rPr>
            </w:pPr>
            <w:r w:rsidRPr="002C7633">
              <w:rPr>
                <w:rFonts w:cs="TimesNewRoman"/>
                <w:sz w:val="24"/>
                <w:szCs w:val="24"/>
              </w:rPr>
              <w:t>dos</w:t>
            </w:r>
            <w:r w:rsidR="002C7633">
              <w:rPr>
                <w:rFonts w:cs="TimesNewRoman"/>
                <w:sz w:val="24"/>
                <w:szCs w:val="24"/>
              </w:rPr>
              <w:t>trzegać ich aspekty systemowe i </w:t>
            </w:r>
            <w:r w:rsidRPr="002C7633">
              <w:rPr>
                <w:rFonts w:cs="TimesNewRoman"/>
                <w:sz w:val="24"/>
                <w:szCs w:val="24"/>
              </w:rPr>
              <w:t>pozatechniczne, w tym aspekty etyczne</w:t>
            </w:r>
          </w:p>
          <w:p w:rsidR="004F110C" w:rsidRPr="002C7633" w:rsidRDefault="004F110C" w:rsidP="002C763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59"/>
              <w:rPr>
                <w:rFonts w:cs="TimesNewRoman"/>
                <w:sz w:val="24"/>
                <w:szCs w:val="24"/>
              </w:rPr>
            </w:pPr>
            <w:r w:rsidRPr="002C7633">
              <w:rPr>
                <w:rFonts w:cs="TimesNewRoman"/>
                <w:sz w:val="24"/>
                <w:szCs w:val="24"/>
              </w:rPr>
              <w:t>dokonać wstępnej oceny ekonomicznej proponowanych rozwiązań i podejmowanych działań inżynierskich</w:t>
            </w:r>
          </w:p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K_U02, K_U07, K_U09, K_U15, K_U17, K_U18, K_U21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dokonać krytycznej analizy sposobu funkcjonowania istniejących rozwiązań technicznych i ocenić te rozwiązania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K_U12, K_U13, K_U14, K_U16, K_U18, K_U19, K_U20, K_U21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 xml:space="preserve">projektować – zgodnie z zadaną specyfikacją – oraz wykonać typowe dla kierunku studiów proste urządzenie, obiekt, system lub zrealizować proces, używając odpowiednio dobranych metod, technik, narzędzi i materiałów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K_U02, K_U12, K_U13, K_U14, K_U15, K_U16, K_U18, K_U19, K_U20, K_U21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 xml:space="preserve">rozwiązywać praktyczne zadania inżynierskie wymagające korzystania ze standardów i norm inżynierskich oraz stosowania technologii właściwych dla kierunku studiów, wykorzystując doświadczenie zdobyte w środowisku zajmującym się zawodowo działalnością inżynierską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K_U18, K_U20, K_U23, K_U24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wykorzystać zdobyte w środowisku zajmującym się zawodowo działalnością inżynierską doświadczenie związane z u</w:t>
            </w:r>
            <w:r w:rsidR="009B4977">
              <w:rPr>
                <w:rFonts w:asciiTheme="minorHAnsi" w:hAnsiTheme="minorHAnsi" w:cs="TimesNewRoman"/>
                <w:sz w:val="24"/>
                <w:szCs w:val="24"/>
              </w:rPr>
              <w:t>trzymaniem urządzeń, obiektów i </w:t>
            </w:r>
            <w:r w:rsidRPr="002C7633">
              <w:rPr>
                <w:rFonts w:asciiTheme="minorHAnsi" w:hAnsiTheme="minorHAnsi" w:cs="TimesNewRoman"/>
                <w:sz w:val="24"/>
                <w:szCs w:val="24"/>
              </w:rPr>
              <w:t>systemów technicznych typowych dla kierunku studiów – w</w:t>
            </w:r>
            <w:r w:rsidR="002C7633">
              <w:rPr>
                <w:rFonts w:asciiTheme="minorHAnsi" w:hAnsiTheme="minorHAnsi" w:cs="TimesNewRoman"/>
                <w:sz w:val="24"/>
                <w:szCs w:val="24"/>
              </w:rPr>
              <w:t xml:space="preserve"> przypadku studiów o profilu pra</w:t>
            </w:r>
            <w:r w:rsidRPr="002C7633">
              <w:rPr>
                <w:rFonts w:asciiTheme="minorHAnsi" w:hAnsiTheme="minorHAnsi" w:cs="TimesNewRoman"/>
                <w:sz w:val="24"/>
                <w:szCs w:val="24"/>
              </w:rPr>
              <w:t>ktycznym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K_U22, K_U23</w:t>
            </w:r>
          </w:p>
        </w:tc>
      </w:tr>
    </w:tbl>
    <w:p w:rsidR="00CD499A" w:rsidRPr="002C7633" w:rsidRDefault="00CD499A" w:rsidP="00CD499A">
      <w:pPr>
        <w:pStyle w:val="Tytu"/>
        <w:rPr>
          <w:rFonts w:asciiTheme="minorHAnsi" w:hAnsiTheme="minorHAnsi"/>
          <w:szCs w:val="24"/>
        </w:rPr>
      </w:pPr>
    </w:p>
    <w:p w:rsidR="00CD499A" w:rsidRPr="002C7633" w:rsidRDefault="00CD499A" w:rsidP="00CD499A">
      <w:pPr>
        <w:pStyle w:val="Tytu"/>
        <w:ind w:right="707"/>
        <w:jc w:val="left"/>
        <w:rPr>
          <w:rFonts w:asciiTheme="minorHAnsi" w:hAnsiTheme="minorHAnsi"/>
          <w:b w:val="0"/>
          <w:szCs w:val="24"/>
        </w:rPr>
      </w:pPr>
      <w:r w:rsidRPr="002C7633">
        <w:rPr>
          <w:rFonts w:asciiTheme="minorHAnsi" w:hAnsiTheme="minorHAnsi"/>
          <w:b w:val="0"/>
          <w:szCs w:val="24"/>
        </w:rPr>
        <w:t xml:space="preserve"> </w:t>
      </w:r>
    </w:p>
    <w:p w:rsidR="001D78B7" w:rsidRPr="002C763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C7633" w:rsidSect="009B497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10C" w:rsidRDefault="004F110C" w:rsidP="00217603">
      <w:r>
        <w:separator/>
      </w:r>
    </w:p>
  </w:endnote>
  <w:endnote w:type="continuationSeparator" w:id="0">
    <w:p w:rsidR="004F110C" w:rsidRDefault="004F110C" w:rsidP="00217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0C" w:rsidRDefault="00996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110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110C" w:rsidRDefault="004F110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0C" w:rsidRDefault="00996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110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6D0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4F110C" w:rsidRDefault="004F110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10C" w:rsidRDefault="004F110C" w:rsidP="00217603">
      <w:r>
        <w:separator/>
      </w:r>
    </w:p>
  </w:footnote>
  <w:footnote w:type="continuationSeparator" w:id="0">
    <w:p w:rsidR="004F110C" w:rsidRDefault="004F110C" w:rsidP="00217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0C" w:rsidRPr="00217603" w:rsidRDefault="004F110C" w:rsidP="00217603">
    <w:pPr>
      <w:pStyle w:val="Nagwek"/>
    </w:pPr>
    <w:r w:rsidRPr="00217603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A40D5"/>
    <w:multiLevelType w:val="hybridMultilevel"/>
    <w:tmpl w:val="E1DEBB52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99A"/>
    <w:rsid w:val="00042FB2"/>
    <w:rsid w:val="000E72B7"/>
    <w:rsid w:val="001D78B7"/>
    <w:rsid w:val="00217603"/>
    <w:rsid w:val="00221CC2"/>
    <w:rsid w:val="00223A36"/>
    <w:rsid w:val="002308D7"/>
    <w:rsid w:val="002C6CE2"/>
    <w:rsid w:val="002C6D00"/>
    <w:rsid w:val="002C7633"/>
    <w:rsid w:val="00374951"/>
    <w:rsid w:val="0044248F"/>
    <w:rsid w:val="004D73B9"/>
    <w:rsid w:val="004F110C"/>
    <w:rsid w:val="004F52A6"/>
    <w:rsid w:val="00536B4C"/>
    <w:rsid w:val="005477E1"/>
    <w:rsid w:val="00557CD6"/>
    <w:rsid w:val="00596549"/>
    <w:rsid w:val="005D39CE"/>
    <w:rsid w:val="006207BD"/>
    <w:rsid w:val="00665799"/>
    <w:rsid w:val="00682737"/>
    <w:rsid w:val="00742420"/>
    <w:rsid w:val="00786DE5"/>
    <w:rsid w:val="008E0BAB"/>
    <w:rsid w:val="009553B2"/>
    <w:rsid w:val="009579CD"/>
    <w:rsid w:val="00996E83"/>
    <w:rsid w:val="009A1B49"/>
    <w:rsid w:val="009B4977"/>
    <w:rsid w:val="009F3792"/>
    <w:rsid w:val="009F5100"/>
    <w:rsid w:val="00A13A8B"/>
    <w:rsid w:val="00AB43A9"/>
    <w:rsid w:val="00B32BEC"/>
    <w:rsid w:val="00B462A7"/>
    <w:rsid w:val="00B96A5F"/>
    <w:rsid w:val="00C65CDE"/>
    <w:rsid w:val="00CC5A9C"/>
    <w:rsid w:val="00CD499A"/>
    <w:rsid w:val="00D01F9C"/>
    <w:rsid w:val="00D96E5C"/>
    <w:rsid w:val="00E27DE3"/>
    <w:rsid w:val="00F278AD"/>
    <w:rsid w:val="00F4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49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49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F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9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D49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CD49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CD49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D49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CD49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CD49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D499A"/>
    <w:rPr>
      <w:b/>
    </w:rPr>
  </w:style>
  <w:style w:type="character" w:customStyle="1" w:styleId="PodtytuZnak">
    <w:name w:val="Podtytuł Znak"/>
    <w:basedOn w:val="Domylnaczcionkaakapitu"/>
    <w:link w:val="Podtytu"/>
    <w:rsid w:val="00CD499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CD499A"/>
  </w:style>
  <w:style w:type="paragraph" w:customStyle="1" w:styleId="Styl2">
    <w:name w:val="Styl2"/>
    <w:basedOn w:val="Normalny"/>
    <w:next w:val="Nagwek2"/>
    <w:link w:val="Styl2Znak"/>
    <w:qFormat/>
    <w:rsid w:val="00042FB2"/>
    <w:pPr>
      <w:outlineLvl w:val="0"/>
    </w:pPr>
    <w:rPr>
      <w:rFonts w:ascii="Arial" w:hAnsi="Arial" w:cs="Arial"/>
      <w:b/>
      <w:sz w:val="24"/>
    </w:rPr>
  </w:style>
  <w:style w:type="character" w:customStyle="1" w:styleId="Styl2Znak">
    <w:name w:val="Styl2 Znak"/>
    <w:basedOn w:val="Domylnaczcionkaakapitu"/>
    <w:link w:val="Styl2"/>
    <w:rsid w:val="00042FB2"/>
    <w:rPr>
      <w:rFonts w:ascii="Arial" w:eastAsia="Times New Roman" w:hAnsi="Arial" w:cs="Arial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F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4F110C"/>
    <w:pPr>
      <w:spacing w:before="120" w:after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1768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21</cp:revision>
  <cp:lastPrinted>2019-09-18T10:34:00Z</cp:lastPrinted>
  <dcterms:created xsi:type="dcterms:W3CDTF">2019-06-12T10:11:00Z</dcterms:created>
  <dcterms:modified xsi:type="dcterms:W3CDTF">2019-09-20T07:31:00Z</dcterms:modified>
</cp:coreProperties>
</file>